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31BD3" w14:textId="77777777" w:rsidR="00730B7C" w:rsidRDefault="00BF5337" w:rsidP="00042305">
      <w:pPr>
        <w:widowControl w:val="0"/>
        <w:pBdr>
          <w:top w:val="nil"/>
          <w:left w:val="nil"/>
          <w:bottom w:val="nil"/>
          <w:right w:val="nil"/>
          <w:between w:val="nil"/>
        </w:pBdr>
        <w:spacing w:line="240" w:lineRule="auto"/>
        <w:rPr>
          <w:b/>
          <w:color w:val="002060"/>
          <w:sz w:val="18"/>
          <w:szCs w:val="18"/>
        </w:rPr>
      </w:pPr>
      <w:r>
        <w:rPr>
          <w:b/>
          <w:color w:val="002060"/>
          <w:sz w:val="18"/>
          <w:szCs w:val="18"/>
        </w:rPr>
        <w:t xml:space="preserve">Research Analysts: </w:t>
      </w:r>
      <w:r>
        <w:rPr>
          <w:noProof/>
        </w:rPr>
        <w:drawing>
          <wp:anchor distT="19050" distB="19050" distL="19050" distR="19050" simplePos="0" relativeHeight="251658240" behindDoc="0" locked="0" layoutInCell="1" hidden="0" allowOverlap="1" wp14:anchorId="038A119A" wp14:editId="62D1E6DB">
            <wp:simplePos x="0" y="0"/>
            <wp:positionH relativeFrom="column">
              <wp:posOffset>19050</wp:posOffset>
            </wp:positionH>
            <wp:positionV relativeFrom="paragraph">
              <wp:posOffset>-7618</wp:posOffset>
            </wp:positionV>
            <wp:extent cx="457835" cy="457835"/>
            <wp:effectExtent l="0" t="0" r="0" b="0"/>
            <wp:wrapSquare wrapText="right" distT="19050" distB="19050" distL="19050" distR="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57835" cy="457835"/>
                    </a:xfrm>
                    <a:prstGeom prst="rect">
                      <a:avLst/>
                    </a:prstGeom>
                    <a:ln/>
                  </pic:spPr>
                </pic:pic>
              </a:graphicData>
            </a:graphic>
          </wp:anchor>
        </w:drawing>
      </w:r>
    </w:p>
    <w:p w14:paraId="038F1F7C" w14:textId="77777777" w:rsidR="00730B7C" w:rsidRDefault="00BF5337" w:rsidP="00042305">
      <w:pPr>
        <w:widowControl w:val="0"/>
        <w:pBdr>
          <w:top w:val="nil"/>
          <w:left w:val="nil"/>
          <w:bottom w:val="nil"/>
          <w:right w:val="nil"/>
          <w:between w:val="nil"/>
        </w:pBdr>
        <w:spacing w:line="240" w:lineRule="auto"/>
        <w:rPr>
          <w:color w:val="002060"/>
          <w:sz w:val="18"/>
          <w:szCs w:val="18"/>
        </w:rPr>
      </w:pPr>
      <w:r>
        <w:rPr>
          <w:color w:val="002060"/>
          <w:sz w:val="18"/>
          <w:szCs w:val="18"/>
        </w:rPr>
        <w:t xml:space="preserve">Joshua </w:t>
      </w:r>
      <w:proofErr w:type="spellStart"/>
      <w:r>
        <w:rPr>
          <w:color w:val="002060"/>
          <w:sz w:val="18"/>
          <w:szCs w:val="18"/>
        </w:rPr>
        <w:t>Onyirimba</w:t>
      </w:r>
      <w:proofErr w:type="spellEnd"/>
      <w:r>
        <w:rPr>
          <w:color w:val="002060"/>
          <w:sz w:val="18"/>
          <w:szCs w:val="18"/>
        </w:rPr>
        <w:t xml:space="preserve"> &amp; Madhu Kannan </w:t>
      </w:r>
    </w:p>
    <w:p w14:paraId="24B78382" w14:textId="5C1939E4" w:rsidR="00730B7C" w:rsidRDefault="00042305" w:rsidP="00042305">
      <w:pPr>
        <w:widowControl w:val="0"/>
        <w:pBdr>
          <w:top w:val="nil"/>
          <w:left w:val="nil"/>
          <w:bottom w:val="nil"/>
          <w:right w:val="nil"/>
          <w:between w:val="nil"/>
        </w:pBdr>
        <w:spacing w:line="240" w:lineRule="auto"/>
        <w:rPr>
          <w:color w:val="002060"/>
          <w:sz w:val="18"/>
          <w:szCs w:val="18"/>
        </w:rPr>
      </w:pPr>
      <w:hyperlink r:id="rId7" w:history="1">
        <w:r w:rsidRPr="00DB18D4">
          <w:rPr>
            <w:rStyle w:val="Hyperlink"/>
            <w:sz w:val="18"/>
            <w:szCs w:val="18"/>
          </w:rPr>
          <w:t>joshua.onyirimba@uconn.edu</w:t>
        </w:r>
      </w:hyperlink>
      <w:r>
        <w:rPr>
          <w:color w:val="002060"/>
          <w:sz w:val="18"/>
          <w:szCs w:val="18"/>
        </w:rPr>
        <w:t xml:space="preserve"> </w:t>
      </w:r>
      <w:r w:rsidR="00BF5337">
        <w:rPr>
          <w:color w:val="002060"/>
          <w:sz w:val="18"/>
          <w:szCs w:val="18"/>
        </w:rPr>
        <w:t xml:space="preserve"> &amp; </w:t>
      </w:r>
      <w:hyperlink r:id="rId8" w:history="1">
        <w:r w:rsidRPr="00DB18D4">
          <w:rPr>
            <w:rStyle w:val="Hyperlink"/>
            <w:sz w:val="18"/>
            <w:szCs w:val="18"/>
          </w:rPr>
          <w:t>Madhumitha.kanna@uconn.edu</w:t>
        </w:r>
      </w:hyperlink>
    </w:p>
    <w:p w14:paraId="06560217" w14:textId="77777777" w:rsidR="00042305" w:rsidRDefault="00042305" w:rsidP="00042305">
      <w:pPr>
        <w:widowControl w:val="0"/>
        <w:pBdr>
          <w:top w:val="nil"/>
          <w:left w:val="nil"/>
          <w:bottom w:val="nil"/>
          <w:right w:val="nil"/>
          <w:between w:val="nil"/>
        </w:pBdr>
        <w:spacing w:line="240" w:lineRule="auto"/>
        <w:rPr>
          <w:color w:val="002060"/>
          <w:sz w:val="18"/>
          <w:szCs w:val="18"/>
        </w:rPr>
      </w:pPr>
    </w:p>
    <w:p w14:paraId="7891F826" w14:textId="48D8C2C7" w:rsidR="00236495" w:rsidRPr="005E526E" w:rsidRDefault="00BF5337" w:rsidP="00236495">
      <w:pPr>
        <w:widowControl w:val="0"/>
        <w:pBdr>
          <w:top w:val="nil"/>
          <w:left w:val="nil"/>
          <w:bottom w:val="nil"/>
          <w:right w:val="nil"/>
          <w:between w:val="nil"/>
        </w:pBdr>
        <w:spacing w:line="240" w:lineRule="auto"/>
        <w:rPr>
          <w:rFonts w:ascii="Candara" w:eastAsia="Candara" w:hAnsi="Candara" w:cs="Candara"/>
          <w:b/>
          <w:color w:val="FFFFFF"/>
          <w:sz w:val="48"/>
          <w:szCs w:val="48"/>
          <w:shd w:val="clear" w:color="auto" w:fill="002060"/>
        </w:rPr>
      </w:pPr>
      <w:r>
        <w:rPr>
          <w:rFonts w:ascii="Candara" w:eastAsia="Candara" w:hAnsi="Candara" w:cs="Candara"/>
          <w:b/>
          <w:color w:val="FFFFFF"/>
          <w:sz w:val="48"/>
          <w:szCs w:val="48"/>
          <w:shd w:val="clear" w:color="auto" w:fill="002060"/>
        </w:rPr>
        <w:t>Student Manag</w:t>
      </w:r>
      <w:r w:rsidR="005E526E">
        <w:rPr>
          <w:rFonts w:ascii="Candara" w:eastAsia="Candara" w:hAnsi="Candara" w:cs="Candara"/>
          <w:b/>
          <w:color w:val="FFFFFF"/>
          <w:sz w:val="48"/>
          <w:szCs w:val="48"/>
          <w:shd w:val="clear" w:color="auto" w:fill="002060"/>
        </w:rPr>
        <w:t>ed</w:t>
      </w:r>
      <w:r w:rsidR="00333B62">
        <w:rPr>
          <w:rFonts w:ascii="Candara" w:eastAsia="Candara" w:hAnsi="Candara" w:cs="Candara"/>
          <w:b/>
          <w:color w:val="FFFFFF"/>
          <w:sz w:val="48"/>
          <w:szCs w:val="48"/>
          <w:shd w:val="clear" w:color="auto" w:fill="002060"/>
        </w:rPr>
        <w:t xml:space="preserve"> F</w:t>
      </w:r>
      <w:r>
        <w:rPr>
          <w:rFonts w:ascii="Candara" w:eastAsia="Candara" w:hAnsi="Candara" w:cs="Candara"/>
          <w:b/>
          <w:color w:val="FFFFFF"/>
          <w:sz w:val="48"/>
          <w:szCs w:val="48"/>
          <w:shd w:val="clear" w:color="auto" w:fill="002060"/>
        </w:rPr>
        <w:t>und</w:t>
      </w:r>
      <w:r>
        <w:rPr>
          <w:rFonts w:ascii="Candara" w:eastAsia="Candara" w:hAnsi="Candara" w:cs="Candara"/>
          <w:b/>
          <w:color w:val="FFFFFF"/>
          <w:sz w:val="48"/>
          <w:szCs w:val="48"/>
        </w:rPr>
        <w:t xml:space="preserve"> </w:t>
      </w:r>
    </w:p>
    <w:p w14:paraId="4C6DE8B6" w14:textId="43965043" w:rsidR="00042305" w:rsidRPr="00042305" w:rsidRDefault="00BF5337" w:rsidP="00236495">
      <w:pPr>
        <w:widowControl w:val="0"/>
        <w:pBdr>
          <w:top w:val="nil"/>
          <w:left w:val="nil"/>
          <w:bottom w:val="nil"/>
          <w:right w:val="nil"/>
          <w:between w:val="nil"/>
        </w:pBdr>
        <w:spacing w:line="240" w:lineRule="auto"/>
        <w:rPr>
          <w:rFonts w:ascii="Candara" w:eastAsia="Candara" w:hAnsi="Candara" w:cs="Candara"/>
          <w:b/>
          <w:color w:val="FFFFFF"/>
          <w:sz w:val="48"/>
          <w:szCs w:val="48"/>
        </w:rPr>
      </w:pPr>
      <w:r>
        <w:rPr>
          <w:b/>
          <w:color w:val="002060"/>
          <w:sz w:val="36"/>
          <w:szCs w:val="36"/>
        </w:rPr>
        <w:t xml:space="preserve">Salesforce </w:t>
      </w:r>
      <w:r>
        <w:rPr>
          <w:b/>
          <w:color w:val="002060"/>
          <w:sz w:val="24"/>
          <w:szCs w:val="24"/>
        </w:rPr>
        <w:t>(NYSE: CRM)</w:t>
      </w:r>
    </w:p>
    <w:p w14:paraId="4B7EC4C9" w14:textId="52C4368F" w:rsidR="00730B7C" w:rsidRPr="00042305" w:rsidRDefault="00BF5337" w:rsidP="00042305">
      <w:pPr>
        <w:widowControl w:val="0"/>
        <w:pBdr>
          <w:top w:val="nil"/>
          <w:left w:val="nil"/>
          <w:bottom w:val="nil"/>
          <w:right w:val="nil"/>
          <w:between w:val="nil"/>
        </w:pBdr>
        <w:spacing w:line="240" w:lineRule="auto"/>
        <w:ind w:left="1440"/>
        <w:jc w:val="center"/>
        <w:rPr>
          <w:color w:val="002060"/>
          <w:sz w:val="18"/>
          <w:szCs w:val="18"/>
        </w:rPr>
        <w:sectPr w:rsidR="00730B7C" w:rsidRPr="00042305">
          <w:headerReference w:type="default" r:id="rId9"/>
          <w:pgSz w:w="12240" w:h="15840"/>
          <w:pgMar w:top="288" w:right="829" w:bottom="356" w:left="481" w:header="0" w:footer="720" w:gutter="0"/>
          <w:pgNumType w:start="1"/>
          <w:cols w:num="2" w:space="720" w:equalWidth="0">
            <w:col w:w="5465" w:space="0"/>
            <w:col w:w="5465" w:space="0"/>
          </w:cols>
        </w:sectPr>
      </w:pPr>
      <w:r>
        <w:rPr>
          <w:b/>
          <w:color w:val="002060"/>
          <w:sz w:val="20"/>
          <w:szCs w:val="20"/>
        </w:rPr>
        <w:t xml:space="preserve">November 29, </w:t>
      </w:r>
      <w:proofErr w:type="gramStart"/>
      <w:r>
        <w:rPr>
          <w:b/>
          <w:color w:val="002060"/>
          <w:sz w:val="20"/>
          <w:szCs w:val="20"/>
        </w:rPr>
        <w:t>2021</w:t>
      </w:r>
      <w:proofErr w:type="gramEnd"/>
      <w:r>
        <w:rPr>
          <w:b/>
          <w:color w:val="002060"/>
          <w:sz w:val="20"/>
          <w:szCs w:val="20"/>
        </w:rPr>
        <w:t xml:space="preserve"> </w:t>
      </w:r>
    </w:p>
    <w:p w14:paraId="59501F85" w14:textId="77777777" w:rsidR="00730B7C" w:rsidRDefault="00BF5337" w:rsidP="00042305">
      <w:pPr>
        <w:widowControl w:val="0"/>
        <w:pBdr>
          <w:top w:val="nil"/>
          <w:left w:val="nil"/>
          <w:bottom w:val="nil"/>
          <w:right w:val="nil"/>
          <w:between w:val="nil"/>
        </w:pBdr>
        <w:spacing w:before="77" w:line="240" w:lineRule="auto"/>
        <w:rPr>
          <w:color w:val="002060"/>
          <w:sz w:val="18"/>
          <w:szCs w:val="18"/>
        </w:rPr>
      </w:pPr>
      <w:r>
        <w:rPr>
          <w:color w:val="002060"/>
          <w:sz w:val="18"/>
          <w:szCs w:val="18"/>
        </w:rPr>
        <w:t>Target Price:  331.4</w:t>
      </w:r>
    </w:p>
    <w:p w14:paraId="71D61C9C" w14:textId="77777777" w:rsidR="00730B7C" w:rsidRDefault="00BF5337" w:rsidP="00042305">
      <w:pPr>
        <w:widowControl w:val="0"/>
        <w:pBdr>
          <w:top w:val="nil"/>
          <w:left w:val="nil"/>
          <w:bottom w:val="nil"/>
          <w:right w:val="nil"/>
          <w:between w:val="nil"/>
        </w:pBdr>
        <w:spacing w:before="77" w:line="240" w:lineRule="auto"/>
        <w:rPr>
          <w:color w:val="002060"/>
          <w:sz w:val="18"/>
          <w:szCs w:val="18"/>
        </w:rPr>
      </w:pPr>
      <w:r>
        <w:rPr>
          <w:color w:val="002060"/>
          <w:sz w:val="18"/>
          <w:szCs w:val="18"/>
        </w:rPr>
        <w:t>Current Price: 297.53</w:t>
      </w:r>
    </w:p>
    <w:p w14:paraId="3E149112" w14:textId="77777777" w:rsidR="00730B7C" w:rsidRDefault="00BF5337" w:rsidP="00042305">
      <w:pPr>
        <w:widowControl w:val="0"/>
        <w:pBdr>
          <w:top w:val="nil"/>
          <w:left w:val="nil"/>
          <w:bottom w:val="nil"/>
          <w:right w:val="nil"/>
          <w:between w:val="nil"/>
        </w:pBdr>
        <w:spacing w:before="77" w:line="240" w:lineRule="auto"/>
        <w:rPr>
          <w:color w:val="002060"/>
          <w:sz w:val="18"/>
          <w:szCs w:val="18"/>
        </w:rPr>
      </w:pPr>
      <w:r>
        <w:rPr>
          <w:color w:val="002060"/>
          <w:sz w:val="18"/>
          <w:szCs w:val="18"/>
        </w:rPr>
        <w:t>Stop loss: 25%</w:t>
      </w:r>
    </w:p>
    <w:p w14:paraId="360E37E1" w14:textId="77777777" w:rsidR="00730B7C" w:rsidRDefault="00BF5337" w:rsidP="00042305">
      <w:pPr>
        <w:widowControl w:val="0"/>
        <w:pBdr>
          <w:top w:val="nil"/>
          <w:left w:val="nil"/>
          <w:bottom w:val="nil"/>
          <w:right w:val="nil"/>
          <w:between w:val="nil"/>
        </w:pBdr>
        <w:spacing w:before="77" w:line="240" w:lineRule="auto"/>
        <w:rPr>
          <w:color w:val="002060"/>
          <w:sz w:val="18"/>
          <w:szCs w:val="18"/>
        </w:rPr>
      </w:pPr>
      <w:r>
        <w:rPr>
          <w:color w:val="002060"/>
          <w:sz w:val="18"/>
          <w:szCs w:val="18"/>
        </w:rPr>
        <w:t xml:space="preserve">52 Week High/Low: $201.51- $311.75 </w:t>
      </w:r>
      <w:r>
        <w:rPr>
          <w:color w:val="002060"/>
          <w:sz w:val="18"/>
          <w:szCs w:val="18"/>
        </w:rPr>
        <w:t xml:space="preserve">P/E Ratio: 119.34 </w:t>
      </w:r>
    </w:p>
    <w:p w14:paraId="5A82927F" w14:textId="77777777" w:rsidR="00730B7C" w:rsidRDefault="00BF5337" w:rsidP="00042305">
      <w:pPr>
        <w:widowControl w:val="0"/>
        <w:pBdr>
          <w:top w:val="nil"/>
          <w:left w:val="nil"/>
          <w:bottom w:val="nil"/>
          <w:right w:val="nil"/>
          <w:between w:val="nil"/>
        </w:pBdr>
        <w:spacing w:line="240" w:lineRule="auto"/>
        <w:rPr>
          <w:color w:val="002060"/>
          <w:sz w:val="18"/>
          <w:szCs w:val="18"/>
        </w:rPr>
      </w:pPr>
      <w:r>
        <w:rPr>
          <w:color w:val="002060"/>
          <w:sz w:val="18"/>
          <w:szCs w:val="18"/>
        </w:rPr>
        <w:t>EPS: 2.50</w:t>
      </w:r>
    </w:p>
    <w:p w14:paraId="5E3AF138" w14:textId="77777777" w:rsidR="00730B7C" w:rsidRDefault="00BF5337" w:rsidP="00042305">
      <w:pPr>
        <w:widowControl w:val="0"/>
        <w:pBdr>
          <w:top w:val="nil"/>
          <w:left w:val="nil"/>
          <w:bottom w:val="nil"/>
          <w:right w:val="nil"/>
          <w:between w:val="nil"/>
        </w:pBdr>
        <w:spacing w:before="9" w:line="240" w:lineRule="auto"/>
        <w:rPr>
          <w:color w:val="002060"/>
          <w:sz w:val="18"/>
          <w:szCs w:val="18"/>
        </w:rPr>
        <w:sectPr w:rsidR="00730B7C">
          <w:type w:val="continuous"/>
          <w:pgSz w:w="12240" w:h="15840"/>
          <w:pgMar w:top="288" w:right="1885" w:bottom="356" w:left="583" w:header="0" w:footer="720" w:gutter="0"/>
          <w:cols w:num="3" w:space="720" w:equalWidth="0">
            <w:col w:w="3257" w:space="0"/>
            <w:col w:w="3257" w:space="0"/>
            <w:col w:w="3257" w:space="0"/>
          </w:cols>
        </w:sectPr>
      </w:pPr>
      <w:r>
        <w:rPr>
          <w:color w:val="002060"/>
          <w:sz w:val="18"/>
          <w:szCs w:val="18"/>
        </w:rPr>
        <w:t>Book Value/Share: 56.77</w:t>
      </w:r>
    </w:p>
    <w:p w14:paraId="1644DE71" w14:textId="77777777" w:rsidR="00730B7C" w:rsidRDefault="00BF5337">
      <w:pPr>
        <w:widowControl w:val="0"/>
        <w:pBdr>
          <w:top w:val="nil"/>
          <w:left w:val="nil"/>
          <w:bottom w:val="nil"/>
          <w:right w:val="nil"/>
          <w:between w:val="nil"/>
        </w:pBdr>
        <w:spacing w:before="124" w:line="240" w:lineRule="auto"/>
        <w:ind w:left="12"/>
        <w:rPr>
          <w:rFonts w:ascii="Century Gothic" w:eastAsia="Century Gothic" w:hAnsi="Century Gothic" w:cs="Century Gothic"/>
          <w:b/>
          <w:color w:val="002060"/>
          <w:sz w:val="32"/>
          <w:szCs w:val="32"/>
        </w:rPr>
      </w:pPr>
      <w:r>
        <w:rPr>
          <w:rFonts w:ascii="Century Gothic" w:eastAsia="Century Gothic" w:hAnsi="Century Gothic" w:cs="Century Gothic"/>
          <w:b/>
          <w:color w:val="002060"/>
          <w:sz w:val="32"/>
          <w:szCs w:val="32"/>
        </w:rPr>
        <w:t xml:space="preserve">Company Overview </w:t>
      </w:r>
      <w:r>
        <w:rPr>
          <w:rFonts w:ascii="Century Gothic" w:eastAsia="Century Gothic" w:hAnsi="Century Gothic" w:cs="Century Gothic"/>
          <w:b/>
          <w:color w:val="002060"/>
          <w:sz w:val="32"/>
          <w:szCs w:val="32"/>
        </w:rPr>
        <w:tab/>
      </w:r>
      <w:r>
        <w:rPr>
          <w:rFonts w:ascii="Century Gothic" w:eastAsia="Century Gothic" w:hAnsi="Century Gothic" w:cs="Century Gothic"/>
          <w:b/>
          <w:color w:val="002060"/>
          <w:sz w:val="32"/>
          <w:szCs w:val="32"/>
        </w:rPr>
        <w:tab/>
      </w:r>
      <w:r>
        <w:rPr>
          <w:rFonts w:ascii="Century Gothic" w:eastAsia="Century Gothic" w:hAnsi="Century Gothic" w:cs="Century Gothic"/>
          <w:b/>
          <w:color w:val="002060"/>
          <w:sz w:val="32"/>
          <w:szCs w:val="32"/>
        </w:rPr>
        <w:tab/>
      </w:r>
      <w:r>
        <w:rPr>
          <w:rFonts w:ascii="Century Gothic" w:eastAsia="Century Gothic" w:hAnsi="Century Gothic" w:cs="Century Gothic"/>
          <w:b/>
          <w:color w:val="002060"/>
          <w:sz w:val="32"/>
          <w:szCs w:val="32"/>
        </w:rPr>
        <w:tab/>
      </w:r>
    </w:p>
    <w:p w14:paraId="539B15AD" w14:textId="12E9B388" w:rsidR="00730B7C" w:rsidRPr="00236495" w:rsidRDefault="00BF5337" w:rsidP="00236495">
      <w:pPr>
        <w:widowControl w:val="0"/>
        <w:pBdr>
          <w:top w:val="nil"/>
          <w:left w:val="nil"/>
          <w:bottom w:val="nil"/>
          <w:right w:val="nil"/>
          <w:between w:val="nil"/>
        </w:pBdr>
        <w:spacing w:before="11" w:line="240" w:lineRule="auto"/>
        <w:ind w:left="113"/>
        <w:jc w:val="both"/>
        <w:rPr>
          <w:sz w:val="18"/>
          <w:szCs w:val="18"/>
          <w:highlight w:val="white"/>
        </w:rPr>
      </w:pPr>
      <w:r w:rsidRPr="00333B62">
        <w:rPr>
          <w:rFonts w:ascii="Trebuchet MS" w:hAnsi="Trebuchet MS"/>
          <w:sz w:val="20"/>
          <w:szCs w:val="20"/>
          <w:highlight w:val="white"/>
        </w:rPr>
        <w:t>Salesforce is a leading provider of enterprise cloud computing solutions, with a focus on customer relationship management, or CRM. Delivering solutions as a service via all the major Internet browsers and on leading mobile devices. Selling to businesses o</w:t>
      </w:r>
      <w:r w:rsidRPr="00333B62">
        <w:rPr>
          <w:rFonts w:ascii="Trebuchet MS" w:hAnsi="Trebuchet MS"/>
          <w:sz w:val="20"/>
          <w:szCs w:val="20"/>
          <w:highlight w:val="white"/>
        </w:rPr>
        <w:t>f all sizes and in almost every industry worldwide on a subscription basis, primarily through our direct sales efforts and indirectly through partners. Their Subscription and Support Services account for nearly 95% of total revenue and customers in the Ame</w:t>
      </w:r>
      <w:r w:rsidRPr="00333B62">
        <w:rPr>
          <w:rFonts w:ascii="Trebuchet MS" w:hAnsi="Trebuchet MS"/>
          <w:sz w:val="20"/>
          <w:szCs w:val="20"/>
          <w:highlight w:val="white"/>
        </w:rPr>
        <w:t xml:space="preserve">ricas account for more than 70% of total </w:t>
      </w:r>
      <w:r>
        <w:rPr>
          <w:sz w:val="18"/>
          <w:szCs w:val="18"/>
          <w:highlight w:val="white"/>
        </w:rPr>
        <w:t>revenue.</w:t>
      </w:r>
    </w:p>
    <w:p w14:paraId="7F9B6FC6" w14:textId="77777777" w:rsidR="00730B7C" w:rsidRDefault="00BF5337">
      <w:pPr>
        <w:widowControl w:val="0"/>
        <w:pBdr>
          <w:top w:val="nil"/>
          <w:left w:val="nil"/>
          <w:bottom w:val="nil"/>
          <w:right w:val="nil"/>
          <w:between w:val="nil"/>
        </w:pBdr>
        <w:spacing w:before="87" w:line="240" w:lineRule="auto"/>
        <w:ind w:left="20"/>
        <w:rPr>
          <w:rFonts w:ascii="Century Gothic" w:eastAsia="Century Gothic" w:hAnsi="Century Gothic" w:cs="Century Gothic"/>
          <w:b/>
          <w:color w:val="002060"/>
          <w:sz w:val="32"/>
          <w:szCs w:val="32"/>
        </w:rPr>
      </w:pPr>
      <w:r>
        <w:rPr>
          <w:rFonts w:ascii="Century Gothic" w:eastAsia="Century Gothic" w:hAnsi="Century Gothic" w:cs="Century Gothic"/>
          <w:b/>
          <w:color w:val="002060"/>
          <w:sz w:val="32"/>
          <w:szCs w:val="32"/>
        </w:rPr>
        <w:t xml:space="preserve">Industry Outlook </w:t>
      </w:r>
    </w:p>
    <w:p w14:paraId="091C0EA5" w14:textId="77777777" w:rsidR="00730B7C" w:rsidRDefault="00730B7C">
      <w:pPr>
        <w:widowControl w:val="0"/>
        <w:pBdr>
          <w:top w:val="nil"/>
          <w:left w:val="nil"/>
          <w:bottom w:val="nil"/>
          <w:right w:val="nil"/>
          <w:between w:val="nil"/>
        </w:pBdr>
        <w:spacing w:before="51" w:line="240" w:lineRule="auto"/>
        <w:jc w:val="both"/>
        <w:rPr>
          <w:sz w:val="18"/>
          <w:szCs w:val="18"/>
        </w:rPr>
      </w:pPr>
    </w:p>
    <w:p w14:paraId="146A9268" w14:textId="77777777" w:rsidR="00730B7C" w:rsidRPr="00333B62" w:rsidRDefault="00BF5337">
      <w:pPr>
        <w:widowControl w:val="0"/>
        <w:pBdr>
          <w:top w:val="nil"/>
          <w:left w:val="nil"/>
          <w:bottom w:val="nil"/>
          <w:right w:val="nil"/>
          <w:between w:val="nil"/>
        </w:pBdr>
        <w:spacing w:before="51" w:line="240" w:lineRule="auto"/>
        <w:ind w:firstLine="1"/>
        <w:jc w:val="both"/>
        <w:rPr>
          <w:rFonts w:ascii="Trebuchet MS" w:hAnsi="Trebuchet MS"/>
          <w:sz w:val="20"/>
          <w:szCs w:val="20"/>
        </w:rPr>
      </w:pPr>
      <w:r w:rsidRPr="00333B62">
        <w:rPr>
          <w:rFonts w:ascii="Trebuchet MS" w:hAnsi="Trebuchet MS"/>
          <w:sz w:val="20"/>
          <w:szCs w:val="20"/>
        </w:rPr>
        <w:t>The global customer relationship management market size was valued at USD 43.7 billion in 2020 and is expected to expand at a compound annual growth rate (CAGR) of 10.6% from 2021 to 2028. This growth is driven by the growing importance of understanding cu</w:t>
      </w:r>
      <w:r w:rsidRPr="00333B62">
        <w:rPr>
          <w:rFonts w:ascii="Trebuchet MS" w:hAnsi="Trebuchet MS"/>
          <w:sz w:val="20"/>
          <w:szCs w:val="20"/>
        </w:rPr>
        <w:t>stomer behavior and preferences amid the intense competition is prompting brands and organizations to adopt CRM strategies to deliver the best service performance in real-time and stay ahead of their rivals. The growing use of digital channels by customers</w:t>
      </w:r>
      <w:r w:rsidRPr="00333B62">
        <w:rPr>
          <w:rFonts w:ascii="Trebuchet MS" w:hAnsi="Trebuchet MS"/>
          <w:sz w:val="20"/>
          <w:szCs w:val="20"/>
        </w:rPr>
        <w:t xml:space="preserve"> to communicate with brands and organizations is estimated to boost the customer relationship management (CRM) market growth over the forecast period. Industry estimates suggest that around 91% of organizations with more than 10 employees in their workforc</w:t>
      </w:r>
      <w:r w:rsidRPr="00333B62">
        <w:rPr>
          <w:rFonts w:ascii="Trebuchet MS" w:hAnsi="Trebuchet MS"/>
          <w:sz w:val="20"/>
          <w:szCs w:val="20"/>
        </w:rPr>
        <w:t>e use CRM systems.</w:t>
      </w:r>
    </w:p>
    <w:p w14:paraId="577F57AD" w14:textId="73CD3CBA" w:rsidR="00730B7C" w:rsidRDefault="00BF5337">
      <w:pPr>
        <w:widowControl w:val="0"/>
        <w:pBdr>
          <w:top w:val="nil"/>
          <w:left w:val="nil"/>
          <w:bottom w:val="nil"/>
          <w:right w:val="nil"/>
          <w:between w:val="nil"/>
        </w:pBdr>
        <w:spacing w:before="51" w:line="240" w:lineRule="auto"/>
        <w:ind w:firstLine="1"/>
        <w:jc w:val="both"/>
        <w:rPr>
          <w:sz w:val="18"/>
          <w:szCs w:val="18"/>
        </w:rPr>
      </w:pPr>
      <w:r>
        <w:rPr>
          <w:noProof/>
          <w:sz w:val="18"/>
          <w:szCs w:val="18"/>
        </w:rPr>
        <w:drawing>
          <wp:inline distT="19050" distB="19050" distL="19050" distR="19050" wp14:anchorId="29925C51" wp14:editId="6EEC5375">
            <wp:extent cx="3733800" cy="2006600"/>
            <wp:effectExtent l="0" t="0" r="0" b="0"/>
            <wp:docPr id="3" name="image3.pn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Chart&#10;&#10;Description automatically generated with low confidence"/>
                    <pic:cNvPicPr preferRelativeResize="0"/>
                  </pic:nvPicPr>
                  <pic:blipFill>
                    <a:blip r:embed="rId10"/>
                    <a:srcRect l="2187" r="-1" b="-1"/>
                    <a:stretch>
                      <a:fillRect/>
                    </a:stretch>
                  </pic:blipFill>
                  <pic:spPr>
                    <a:xfrm>
                      <a:off x="0" y="0"/>
                      <a:ext cx="3733800" cy="2006600"/>
                    </a:xfrm>
                    <a:prstGeom prst="rect">
                      <a:avLst/>
                    </a:prstGeom>
                    <a:ln/>
                  </pic:spPr>
                </pic:pic>
              </a:graphicData>
            </a:graphic>
          </wp:inline>
        </w:drawing>
      </w:r>
    </w:p>
    <w:p w14:paraId="4B537505" w14:textId="0E901BC6" w:rsidR="00730B7C" w:rsidRDefault="00BF5337">
      <w:pPr>
        <w:widowControl w:val="0"/>
        <w:pBdr>
          <w:top w:val="nil"/>
          <w:left w:val="nil"/>
          <w:bottom w:val="nil"/>
          <w:right w:val="nil"/>
          <w:between w:val="nil"/>
        </w:pBdr>
        <w:spacing w:line="240" w:lineRule="auto"/>
        <w:rPr>
          <w:rFonts w:ascii="Century Gothic" w:eastAsia="Century Gothic" w:hAnsi="Century Gothic" w:cs="Century Gothic"/>
          <w:b/>
          <w:color w:val="002060"/>
          <w:sz w:val="32"/>
          <w:szCs w:val="32"/>
        </w:rPr>
      </w:pPr>
      <w:r>
        <w:rPr>
          <w:rFonts w:ascii="Century Gothic" w:eastAsia="Century Gothic" w:hAnsi="Century Gothic" w:cs="Century Gothic"/>
          <w:b/>
          <w:color w:val="002060"/>
          <w:sz w:val="32"/>
          <w:szCs w:val="32"/>
        </w:rPr>
        <w:t xml:space="preserve">  </w:t>
      </w:r>
      <w:r w:rsidR="00042305">
        <w:rPr>
          <w:rFonts w:ascii="Century Gothic" w:eastAsia="Century Gothic" w:hAnsi="Century Gothic" w:cs="Century Gothic"/>
          <w:b/>
          <w:color w:val="002060"/>
          <w:sz w:val="32"/>
          <w:szCs w:val="32"/>
        </w:rPr>
        <w:t xml:space="preserve"> </w:t>
      </w:r>
      <w:r>
        <w:rPr>
          <w:rFonts w:ascii="Century Gothic" w:eastAsia="Century Gothic" w:hAnsi="Century Gothic" w:cs="Century Gothic"/>
          <w:b/>
          <w:color w:val="002060"/>
          <w:sz w:val="32"/>
          <w:szCs w:val="32"/>
        </w:rPr>
        <w:t xml:space="preserve">Market Share </w:t>
      </w:r>
    </w:p>
    <w:p w14:paraId="5BBD0D3E" w14:textId="77777777" w:rsidR="00730B7C" w:rsidRDefault="00BF5337">
      <w:pPr>
        <w:widowControl w:val="0"/>
        <w:pBdr>
          <w:top w:val="nil"/>
          <w:left w:val="nil"/>
          <w:bottom w:val="nil"/>
          <w:right w:val="nil"/>
          <w:between w:val="nil"/>
        </w:pBdr>
        <w:spacing w:line="240" w:lineRule="auto"/>
        <w:ind w:left="278"/>
        <w:rPr>
          <w:rFonts w:ascii="Century Gothic" w:eastAsia="Century Gothic" w:hAnsi="Century Gothic" w:cs="Century Gothic"/>
          <w:b/>
          <w:color w:val="002060"/>
          <w:sz w:val="32"/>
          <w:szCs w:val="32"/>
        </w:rPr>
      </w:pPr>
      <w:r>
        <w:rPr>
          <w:noProof/>
        </w:rPr>
        <w:drawing>
          <wp:anchor distT="19050" distB="19050" distL="19050" distR="19050" simplePos="0" relativeHeight="251659264" behindDoc="0" locked="0" layoutInCell="1" hidden="0" allowOverlap="1" wp14:anchorId="7B4AAD01" wp14:editId="7ADC0927">
            <wp:simplePos x="0" y="0"/>
            <wp:positionH relativeFrom="column">
              <wp:posOffset>200025</wp:posOffset>
            </wp:positionH>
            <wp:positionV relativeFrom="paragraph">
              <wp:posOffset>19050</wp:posOffset>
            </wp:positionV>
            <wp:extent cx="2705369" cy="1460183"/>
            <wp:effectExtent l="0" t="0" r="0" b="0"/>
            <wp:wrapSquare wrapText="bothSides" distT="19050" distB="19050" distL="19050" distR="19050"/>
            <wp:docPr id="4" name="image1.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Chart, line chart&#10;&#10;Description automatically generated"/>
                    <pic:cNvPicPr preferRelativeResize="0"/>
                  </pic:nvPicPr>
                  <pic:blipFill>
                    <a:blip r:embed="rId11"/>
                    <a:srcRect b="4580"/>
                    <a:stretch>
                      <a:fillRect/>
                    </a:stretch>
                  </pic:blipFill>
                  <pic:spPr>
                    <a:xfrm>
                      <a:off x="0" y="0"/>
                      <a:ext cx="2705369" cy="1460183"/>
                    </a:xfrm>
                    <a:prstGeom prst="rect">
                      <a:avLst/>
                    </a:prstGeom>
                    <a:ln/>
                  </pic:spPr>
                </pic:pic>
              </a:graphicData>
            </a:graphic>
          </wp:anchor>
        </w:drawing>
      </w:r>
    </w:p>
    <w:p w14:paraId="7EB1E7D9" w14:textId="77777777" w:rsidR="00730B7C" w:rsidRDefault="00730B7C">
      <w:pPr>
        <w:widowControl w:val="0"/>
        <w:pBdr>
          <w:top w:val="nil"/>
          <w:left w:val="nil"/>
          <w:bottom w:val="nil"/>
          <w:right w:val="nil"/>
          <w:between w:val="nil"/>
        </w:pBdr>
        <w:spacing w:line="240" w:lineRule="auto"/>
        <w:ind w:firstLine="222"/>
        <w:rPr>
          <w:rFonts w:ascii="Century Gothic" w:eastAsia="Century Gothic" w:hAnsi="Century Gothic" w:cs="Century Gothic"/>
          <w:b/>
          <w:color w:val="002060"/>
          <w:sz w:val="32"/>
          <w:szCs w:val="32"/>
        </w:rPr>
      </w:pPr>
    </w:p>
    <w:p w14:paraId="0A18785B" w14:textId="77777777" w:rsidR="00730B7C" w:rsidRDefault="00730B7C">
      <w:pPr>
        <w:widowControl w:val="0"/>
        <w:pBdr>
          <w:top w:val="nil"/>
          <w:left w:val="nil"/>
          <w:bottom w:val="nil"/>
          <w:right w:val="nil"/>
          <w:between w:val="nil"/>
        </w:pBdr>
        <w:spacing w:line="240" w:lineRule="auto"/>
        <w:ind w:firstLine="222"/>
        <w:rPr>
          <w:rFonts w:ascii="Century Gothic" w:eastAsia="Century Gothic" w:hAnsi="Century Gothic" w:cs="Century Gothic"/>
          <w:b/>
          <w:color w:val="002060"/>
          <w:sz w:val="32"/>
          <w:szCs w:val="32"/>
        </w:rPr>
      </w:pPr>
    </w:p>
    <w:p w14:paraId="67CDECBC" w14:textId="77777777" w:rsidR="00730B7C" w:rsidRDefault="00730B7C">
      <w:pPr>
        <w:widowControl w:val="0"/>
        <w:pBdr>
          <w:top w:val="nil"/>
          <w:left w:val="nil"/>
          <w:bottom w:val="nil"/>
          <w:right w:val="nil"/>
          <w:between w:val="nil"/>
        </w:pBdr>
        <w:spacing w:line="240" w:lineRule="auto"/>
        <w:ind w:firstLine="222"/>
        <w:rPr>
          <w:rFonts w:ascii="Century Gothic" w:eastAsia="Century Gothic" w:hAnsi="Century Gothic" w:cs="Century Gothic"/>
          <w:b/>
          <w:color w:val="002060"/>
          <w:sz w:val="32"/>
          <w:szCs w:val="32"/>
        </w:rPr>
      </w:pPr>
    </w:p>
    <w:p w14:paraId="61FFD28B" w14:textId="77777777" w:rsidR="00730B7C" w:rsidRDefault="00730B7C">
      <w:pPr>
        <w:widowControl w:val="0"/>
        <w:pBdr>
          <w:top w:val="nil"/>
          <w:left w:val="nil"/>
          <w:bottom w:val="nil"/>
          <w:right w:val="nil"/>
          <w:between w:val="nil"/>
        </w:pBdr>
        <w:spacing w:line="240" w:lineRule="auto"/>
        <w:ind w:firstLine="222"/>
        <w:rPr>
          <w:rFonts w:ascii="Century Gothic" w:eastAsia="Century Gothic" w:hAnsi="Century Gothic" w:cs="Century Gothic"/>
          <w:b/>
          <w:color w:val="002060"/>
          <w:sz w:val="32"/>
          <w:szCs w:val="32"/>
        </w:rPr>
      </w:pPr>
    </w:p>
    <w:p w14:paraId="2E3D0E11" w14:textId="77777777" w:rsidR="00730B7C" w:rsidRDefault="00BF5337">
      <w:pPr>
        <w:widowControl w:val="0"/>
        <w:pBdr>
          <w:top w:val="nil"/>
          <w:left w:val="nil"/>
          <w:bottom w:val="nil"/>
          <w:right w:val="nil"/>
          <w:between w:val="nil"/>
        </w:pBdr>
        <w:spacing w:line="240" w:lineRule="auto"/>
        <w:ind w:firstLine="222"/>
        <w:rPr>
          <w:rFonts w:ascii="Century Gothic" w:eastAsia="Century Gothic" w:hAnsi="Century Gothic" w:cs="Century Gothic"/>
          <w:b/>
          <w:color w:val="002060"/>
          <w:sz w:val="32"/>
          <w:szCs w:val="32"/>
        </w:rPr>
      </w:pPr>
      <w:r>
        <w:rPr>
          <w:rFonts w:ascii="Century Gothic" w:eastAsia="Century Gothic" w:hAnsi="Century Gothic" w:cs="Century Gothic"/>
          <w:b/>
          <w:color w:val="002060"/>
          <w:sz w:val="32"/>
          <w:szCs w:val="32"/>
        </w:rPr>
        <w:t xml:space="preserve">Investment Thesis </w:t>
      </w:r>
    </w:p>
    <w:p w14:paraId="77516768" w14:textId="77777777" w:rsidR="00730B7C" w:rsidRPr="00333B62" w:rsidRDefault="00BF5337">
      <w:pPr>
        <w:widowControl w:val="0"/>
        <w:pBdr>
          <w:top w:val="nil"/>
          <w:left w:val="nil"/>
          <w:bottom w:val="nil"/>
          <w:right w:val="nil"/>
          <w:between w:val="nil"/>
        </w:pBdr>
        <w:spacing w:before="77" w:line="240" w:lineRule="auto"/>
        <w:ind w:left="222" w:right="7" w:firstLine="1"/>
        <w:jc w:val="both"/>
        <w:rPr>
          <w:rFonts w:ascii="Trebuchet MS" w:hAnsi="Trebuchet MS"/>
          <w:sz w:val="20"/>
          <w:szCs w:val="20"/>
        </w:rPr>
      </w:pPr>
      <w:r w:rsidRPr="00333B62">
        <w:rPr>
          <w:rFonts w:ascii="Trebuchet MS" w:hAnsi="Trebuchet MS"/>
          <w:sz w:val="20"/>
          <w:szCs w:val="20"/>
        </w:rPr>
        <w:t>Salesforce is the clear market leader in the rapidly growing customer relationship management industry. They work with over 150,000 businesses of all sizes and their subscription services account for around 95% of total revenues. Sticky customers are an in</w:t>
      </w:r>
      <w:r w:rsidRPr="00333B62">
        <w:rPr>
          <w:rFonts w:ascii="Trebuchet MS" w:hAnsi="Trebuchet MS"/>
          <w:sz w:val="20"/>
          <w:szCs w:val="20"/>
        </w:rPr>
        <w:t xml:space="preserve">dustry characteristic, further driving our optimism on the </w:t>
      </w:r>
      <w:proofErr w:type="gramStart"/>
      <w:r w:rsidRPr="00333B62">
        <w:rPr>
          <w:rFonts w:ascii="Trebuchet MS" w:hAnsi="Trebuchet MS"/>
          <w:sz w:val="20"/>
          <w:szCs w:val="20"/>
        </w:rPr>
        <w:t>company as a whole</w:t>
      </w:r>
      <w:proofErr w:type="gramEnd"/>
      <w:r w:rsidRPr="00333B62">
        <w:rPr>
          <w:rFonts w:ascii="Trebuchet MS" w:hAnsi="Trebuchet MS"/>
          <w:sz w:val="20"/>
          <w:szCs w:val="20"/>
        </w:rPr>
        <w:t xml:space="preserve">. </w:t>
      </w:r>
    </w:p>
    <w:p w14:paraId="08F8FAB1" w14:textId="77777777" w:rsidR="00730B7C" w:rsidRPr="00333B62" w:rsidRDefault="00BF5337">
      <w:pPr>
        <w:widowControl w:val="0"/>
        <w:pBdr>
          <w:top w:val="nil"/>
          <w:left w:val="nil"/>
          <w:bottom w:val="nil"/>
          <w:right w:val="nil"/>
          <w:between w:val="nil"/>
        </w:pBdr>
        <w:spacing w:before="77" w:line="240" w:lineRule="auto"/>
        <w:ind w:left="222" w:right="7" w:firstLine="1"/>
        <w:jc w:val="both"/>
        <w:rPr>
          <w:rFonts w:ascii="Trebuchet MS" w:hAnsi="Trebuchet MS"/>
          <w:sz w:val="20"/>
          <w:szCs w:val="20"/>
        </w:rPr>
      </w:pPr>
      <w:r w:rsidRPr="00333B62">
        <w:rPr>
          <w:rFonts w:ascii="Trebuchet MS" w:hAnsi="Trebuchet MS"/>
          <w:sz w:val="20"/>
          <w:szCs w:val="20"/>
        </w:rPr>
        <w:t>Salesforce is recognized for having the best product in the industry. They are expanding their solutions offerings through their inorganic growth strategy, highlighted by the a</w:t>
      </w:r>
      <w:r w:rsidRPr="00333B62">
        <w:rPr>
          <w:rFonts w:ascii="Trebuchet MS" w:hAnsi="Trebuchet MS"/>
          <w:sz w:val="20"/>
          <w:szCs w:val="20"/>
        </w:rPr>
        <w:t xml:space="preserve">cquisitions of Slack, Tableau &amp; </w:t>
      </w:r>
      <w:proofErr w:type="spellStart"/>
      <w:r w:rsidRPr="00333B62">
        <w:rPr>
          <w:rFonts w:ascii="Trebuchet MS" w:hAnsi="Trebuchet MS"/>
          <w:sz w:val="20"/>
          <w:szCs w:val="20"/>
        </w:rPr>
        <w:t>Vlocity</w:t>
      </w:r>
      <w:proofErr w:type="spellEnd"/>
      <w:r w:rsidRPr="00333B62">
        <w:rPr>
          <w:rFonts w:ascii="Trebuchet MS" w:hAnsi="Trebuchet MS"/>
          <w:sz w:val="20"/>
          <w:szCs w:val="20"/>
        </w:rPr>
        <w:t xml:space="preserve"> over the past three years. </w:t>
      </w:r>
    </w:p>
    <w:p w14:paraId="52B62028" w14:textId="77777777" w:rsidR="00730B7C" w:rsidRPr="00333B62" w:rsidRDefault="00BF5337">
      <w:pPr>
        <w:widowControl w:val="0"/>
        <w:pBdr>
          <w:top w:val="nil"/>
          <w:left w:val="nil"/>
          <w:bottom w:val="nil"/>
          <w:right w:val="nil"/>
          <w:between w:val="nil"/>
        </w:pBdr>
        <w:spacing w:before="77" w:line="240" w:lineRule="auto"/>
        <w:ind w:left="222" w:right="7" w:firstLine="1"/>
        <w:jc w:val="both"/>
        <w:rPr>
          <w:rFonts w:ascii="Trebuchet MS" w:hAnsi="Trebuchet MS"/>
          <w:sz w:val="20"/>
          <w:szCs w:val="20"/>
        </w:rPr>
      </w:pPr>
      <w:r w:rsidRPr="00333B62">
        <w:rPr>
          <w:rFonts w:ascii="Trebuchet MS" w:hAnsi="Trebuchet MS"/>
          <w:sz w:val="20"/>
          <w:szCs w:val="20"/>
        </w:rPr>
        <w:t>With over 70% of total revenue coming from the Americas, Salesforce is positioning itself to increase its global presence. The implementation of the global advisory board aims to obtain st</w:t>
      </w:r>
      <w:r w:rsidRPr="00333B62">
        <w:rPr>
          <w:rFonts w:ascii="Trebuchet MS" w:hAnsi="Trebuchet MS"/>
          <w:sz w:val="20"/>
          <w:szCs w:val="20"/>
        </w:rPr>
        <w:t>rategic guidance and support as it grows into new markets, deepening Salesforce’s role as a trusted digital advisor to CEOs and leaders around the world.</w:t>
      </w:r>
    </w:p>
    <w:p w14:paraId="2FFC7FCA" w14:textId="3A526097" w:rsidR="00730B7C" w:rsidRPr="00333B62" w:rsidRDefault="00BF5337">
      <w:pPr>
        <w:widowControl w:val="0"/>
        <w:pBdr>
          <w:top w:val="nil"/>
          <w:left w:val="nil"/>
          <w:bottom w:val="nil"/>
          <w:right w:val="nil"/>
          <w:between w:val="nil"/>
        </w:pBdr>
        <w:spacing w:before="77" w:line="240" w:lineRule="auto"/>
        <w:ind w:left="222" w:right="7" w:firstLine="1"/>
        <w:jc w:val="both"/>
        <w:rPr>
          <w:rFonts w:ascii="Trebuchet MS" w:hAnsi="Trebuchet MS"/>
          <w:sz w:val="20"/>
          <w:szCs w:val="20"/>
        </w:rPr>
        <w:sectPr w:rsidR="00730B7C" w:rsidRPr="00333B62">
          <w:type w:val="continuous"/>
          <w:pgSz w:w="12240" w:h="15840"/>
          <w:pgMar w:top="288" w:right="125" w:bottom="356" w:left="362" w:header="0" w:footer="720" w:gutter="0"/>
          <w:cols w:num="2" w:space="720" w:equalWidth="0">
            <w:col w:w="5876" w:space="0"/>
            <w:col w:w="5876" w:space="0"/>
          </w:cols>
        </w:sectPr>
      </w:pPr>
      <w:r w:rsidRPr="00333B62">
        <w:rPr>
          <w:rFonts w:ascii="Trebuchet MS" w:hAnsi="Trebuchet MS"/>
          <w:sz w:val="20"/>
          <w:szCs w:val="20"/>
        </w:rPr>
        <w:t>The annual term structure of the subscription services makes seasonality a factor in the performance of the company and further drives our optimism. According to their annual report, the company’s fourth quarter has “historically been our strongest quarter</w:t>
      </w:r>
      <w:r w:rsidRPr="00333B62">
        <w:rPr>
          <w:rFonts w:ascii="Trebuchet MS" w:hAnsi="Trebuchet MS"/>
          <w:sz w:val="20"/>
          <w:szCs w:val="20"/>
        </w:rPr>
        <w:t xml:space="preserve"> for new business and renewals” and their first quarter is their largest collections and operating cash flow quarter”</w:t>
      </w:r>
    </w:p>
    <w:p w14:paraId="04BF3962" w14:textId="5188F5D5" w:rsidR="00236495" w:rsidRDefault="00236495">
      <w:pPr>
        <w:widowControl w:val="0"/>
        <w:pBdr>
          <w:top w:val="nil"/>
          <w:left w:val="nil"/>
          <w:bottom w:val="nil"/>
          <w:right w:val="nil"/>
          <w:between w:val="nil"/>
        </w:pBdr>
        <w:spacing w:line="240" w:lineRule="auto"/>
        <w:rPr>
          <w:color w:val="000000"/>
          <w:sz w:val="18"/>
          <w:szCs w:val="18"/>
        </w:rPr>
        <w:sectPr w:rsidR="00236495">
          <w:type w:val="continuous"/>
          <w:pgSz w:w="12240" w:h="15840"/>
          <w:pgMar w:top="288" w:right="1440" w:bottom="356" w:left="1440" w:header="0" w:footer="720" w:gutter="0"/>
          <w:cols w:space="720"/>
        </w:sectPr>
      </w:pPr>
    </w:p>
    <w:p w14:paraId="5F2AB9D3" w14:textId="77777777" w:rsidR="005E526E" w:rsidRDefault="005E526E" w:rsidP="005E526E">
      <w:pPr>
        <w:widowControl w:val="0"/>
        <w:pBdr>
          <w:top w:val="nil"/>
          <w:left w:val="nil"/>
          <w:bottom w:val="nil"/>
          <w:right w:val="nil"/>
          <w:between w:val="nil"/>
        </w:pBdr>
        <w:spacing w:before="77" w:line="240" w:lineRule="auto"/>
        <w:ind w:right="7"/>
        <w:jc w:val="both"/>
        <w:rPr>
          <w:rFonts w:ascii="Trebuchet MS" w:eastAsia="Trebuchet MS" w:hAnsi="Trebuchet MS" w:cs="Trebuchet MS"/>
          <w:sz w:val="20"/>
          <w:szCs w:val="20"/>
        </w:rPr>
      </w:pPr>
      <w:r>
        <w:rPr>
          <w:rFonts w:ascii="Century Gothic" w:eastAsia="Century Gothic" w:hAnsi="Century Gothic" w:cs="Century Gothic"/>
          <w:b/>
          <w:color w:val="002060"/>
          <w:sz w:val="32"/>
          <w:szCs w:val="32"/>
        </w:rPr>
        <w:t>Investment Risks</w:t>
      </w:r>
      <w:r>
        <w:rPr>
          <w:rFonts w:ascii="Trebuchet MS" w:eastAsia="Trebuchet MS" w:hAnsi="Trebuchet MS" w:cs="Trebuchet MS"/>
          <w:sz w:val="20"/>
          <w:szCs w:val="20"/>
        </w:rPr>
        <w:t xml:space="preserve"> </w:t>
      </w:r>
    </w:p>
    <w:p w14:paraId="1BB3DB6B" w14:textId="28E7C985" w:rsidR="005E526E" w:rsidRPr="005E526E" w:rsidRDefault="005E526E" w:rsidP="005E526E">
      <w:pPr>
        <w:widowControl w:val="0"/>
        <w:pBdr>
          <w:top w:val="nil"/>
          <w:left w:val="nil"/>
          <w:bottom w:val="nil"/>
          <w:right w:val="nil"/>
          <w:between w:val="nil"/>
        </w:pBdr>
        <w:spacing w:before="77" w:line="240" w:lineRule="auto"/>
        <w:ind w:right="7"/>
        <w:jc w:val="both"/>
        <w:rPr>
          <w:rFonts w:ascii="Trebuchet MS" w:eastAsia="Trebuchet MS" w:hAnsi="Trebuchet MS" w:cs="Trebuchet MS"/>
          <w:sz w:val="20"/>
          <w:szCs w:val="20"/>
        </w:rPr>
      </w:pPr>
      <w:r>
        <w:rPr>
          <w:rFonts w:ascii="Trebuchet MS" w:eastAsia="Trebuchet MS" w:hAnsi="Trebuchet MS" w:cs="Trebuchet MS"/>
          <w:sz w:val="20"/>
          <w:szCs w:val="20"/>
        </w:rPr>
        <w:t xml:space="preserve">The five main areas of risk for Salesforce lies within third party issues, security issues, legal risk, and increased competition. While none of these issues have caused any significant issues, it is important to be aware that they do exist. Salesforce takes great precaution to provide security over their client’s data and remains the top CRM provider in the industry. As this software becomes more popular, larger competitors aim to imitate CRM software. However, Salesforce's tenure in this field has allowed them to perfect their technology. </w:t>
      </w:r>
    </w:p>
    <w:p w14:paraId="0F87E286" w14:textId="438DC23B" w:rsidR="005E526E" w:rsidRDefault="005E526E" w:rsidP="005E526E">
      <w:pPr>
        <w:widowControl w:val="0"/>
        <w:pBdr>
          <w:top w:val="nil"/>
          <w:left w:val="nil"/>
          <w:bottom w:val="nil"/>
          <w:right w:val="nil"/>
          <w:between w:val="nil"/>
        </w:pBdr>
        <w:spacing w:before="77" w:line="240" w:lineRule="auto"/>
        <w:ind w:right="7"/>
        <w:jc w:val="center"/>
        <w:rPr>
          <w:rFonts w:ascii="Trebuchet MS" w:eastAsia="Trebuchet MS" w:hAnsi="Trebuchet MS" w:cs="Trebuchet MS"/>
          <w:sz w:val="20"/>
          <w:szCs w:val="20"/>
        </w:rPr>
      </w:pPr>
      <w:r>
        <w:rPr>
          <w:rFonts w:ascii="Trebuchet MS" w:eastAsia="Trebuchet MS" w:hAnsi="Trebuchet MS" w:cs="Trebuchet MS"/>
          <w:noProof/>
          <w:color w:val="000000"/>
          <w:sz w:val="24"/>
          <w:szCs w:val="24"/>
        </w:rPr>
        <w:drawing>
          <wp:inline distT="114300" distB="114300" distL="114300" distR="114300" wp14:anchorId="30612E1F" wp14:editId="3ECD20A0">
            <wp:extent cx="2697480" cy="1813560"/>
            <wp:effectExtent l="0" t="0" r="0" b="2540"/>
            <wp:docPr id="1" name="image4.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4.png" descr="Chart, histogram&#10;&#10;Description automatically generated"/>
                    <pic:cNvPicPr preferRelativeResize="0"/>
                  </pic:nvPicPr>
                  <pic:blipFill>
                    <a:blip r:embed="rId12"/>
                    <a:srcRect/>
                    <a:stretch>
                      <a:fillRect/>
                    </a:stretch>
                  </pic:blipFill>
                  <pic:spPr>
                    <a:xfrm>
                      <a:off x="0" y="0"/>
                      <a:ext cx="2697806" cy="1813779"/>
                    </a:xfrm>
                    <a:prstGeom prst="rect">
                      <a:avLst/>
                    </a:prstGeom>
                    <a:ln/>
                  </pic:spPr>
                </pic:pic>
              </a:graphicData>
            </a:graphic>
          </wp:inline>
        </w:drawing>
      </w:r>
    </w:p>
    <w:p w14:paraId="745B7407" w14:textId="77777777" w:rsidR="005E526E" w:rsidRDefault="005E526E" w:rsidP="00236495">
      <w:pPr>
        <w:widowControl w:val="0"/>
        <w:pBdr>
          <w:top w:val="nil"/>
          <w:left w:val="nil"/>
          <w:bottom w:val="nil"/>
          <w:right w:val="nil"/>
          <w:between w:val="nil"/>
        </w:pBdr>
        <w:spacing w:before="77" w:line="240" w:lineRule="auto"/>
        <w:ind w:right="7"/>
        <w:jc w:val="both"/>
        <w:rPr>
          <w:rFonts w:ascii="Trebuchet MS" w:eastAsia="Trebuchet MS" w:hAnsi="Trebuchet MS" w:cs="Trebuchet MS"/>
          <w:sz w:val="20"/>
          <w:szCs w:val="20"/>
        </w:rPr>
      </w:pPr>
    </w:p>
    <w:p w14:paraId="7263D6C9" w14:textId="77777777" w:rsidR="005E526E" w:rsidRDefault="005E526E" w:rsidP="00236495">
      <w:pPr>
        <w:widowControl w:val="0"/>
        <w:pBdr>
          <w:top w:val="nil"/>
          <w:left w:val="nil"/>
          <w:bottom w:val="nil"/>
          <w:right w:val="nil"/>
          <w:between w:val="nil"/>
        </w:pBdr>
        <w:spacing w:before="77" w:line="240" w:lineRule="auto"/>
        <w:ind w:right="7"/>
        <w:jc w:val="both"/>
        <w:rPr>
          <w:rFonts w:ascii="Trebuchet MS" w:eastAsia="Trebuchet MS" w:hAnsi="Trebuchet MS" w:cs="Trebuchet MS"/>
          <w:sz w:val="20"/>
          <w:szCs w:val="20"/>
        </w:rPr>
      </w:pPr>
    </w:p>
    <w:p w14:paraId="0D4DC164" w14:textId="77777777" w:rsidR="005E526E" w:rsidRDefault="005E526E" w:rsidP="00236495">
      <w:pPr>
        <w:widowControl w:val="0"/>
        <w:pBdr>
          <w:top w:val="nil"/>
          <w:left w:val="nil"/>
          <w:bottom w:val="nil"/>
          <w:right w:val="nil"/>
          <w:between w:val="nil"/>
        </w:pBdr>
        <w:spacing w:before="77" w:line="240" w:lineRule="auto"/>
        <w:ind w:right="7"/>
        <w:jc w:val="both"/>
        <w:rPr>
          <w:rFonts w:ascii="Trebuchet MS" w:eastAsia="Trebuchet MS" w:hAnsi="Trebuchet MS" w:cs="Trebuchet MS"/>
          <w:sz w:val="20"/>
          <w:szCs w:val="20"/>
        </w:rPr>
      </w:pPr>
    </w:p>
    <w:p w14:paraId="6AE5B3AD" w14:textId="77777777" w:rsidR="005E526E" w:rsidRDefault="005E526E" w:rsidP="00236495">
      <w:pPr>
        <w:widowControl w:val="0"/>
        <w:pBdr>
          <w:top w:val="nil"/>
          <w:left w:val="nil"/>
          <w:bottom w:val="nil"/>
          <w:right w:val="nil"/>
          <w:between w:val="nil"/>
        </w:pBdr>
        <w:spacing w:before="77" w:line="240" w:lineRule="auto"/>
        <w:ind w:right="7"/>
        <w:jc w:val="both"/>
        <w:rPr>
          <w:rFonts w:ascii="Trebuchet MS" w:eastAsia="Trebuchet MS" w:hAnsi="Trebuchet MS" w:cs="Trebuchet MS"/>
          <w:sz w:val="20"/>
          <w:szCs w:val="20"/>
        </w:rPr>
      </w:pPr>
    </w:p>
    <w:p w14:paraId="4C3E125F" w14:textId="77777777" w:rsidR="005E526E" w:rsidRDefault="005E526E" w:rsidP="00236495">
      <w:pPr>
        <w:widowControl w:val="0"/>
        <w:pBdr>
          <w:top w:val="nil"/>
          <w:left w:val="nil"/>
          <w:bottom w:val="nil"/>
          <w:right w:val="nil"/>
          <w:between w:val="nil"/>
        </w:pBdr>
        <w:spacing w:before="77" w:line="240" w:lineRule="auto"/>
        <w:ind w:right="7"/>
        <w:jc w:val="both"/>
        <w:rPr>
          <w:rFonts w:ascii="Trebuchet MS" w:eastAsia="Trebuchet MS" w:hAnsi="Trebuchet MS" w:cs="Trebuchet MS"/>
          <w:sz w:val="20"/>
          <w:szCs w:val="20"/>
        </w:rPr>
      </w:pPr>
    </w:p>
    <w:p w14:paraId="1716100D" w14:textId="77777777" w:rsidR="005E526E" w:rsidRDefault="005E526E" w:rsidP="00236495">
      <w:pPr>
        <w:widowControl w:val="0"/>
        <w:pBdr>
          <w:top w:val="nil"/>
          <w:left w:val="nil"/>
          <w:bottom w:val="nil"/>
          <w:right w:val="nil"/>
          <w:between w:val="nil"/>
        </w:pBdr>
        <w:spacing w:before="77" w:line="240" w:lineRule="auto"/>
        <w:ind w:right="7"/>
        <w:jc w:val="both"/>
        <w:rPr>
          <w:rFonts w:ascii="Trebuchet MS" w:eastAsia="Trebuchet MS" w:hAnsi="Trebuchet MS" w:cs="Trebuchet MS"/>
          <w:sz w:val="20"/>
          <w:szCs w:val="20"/>
        </w:rPr>
      </w:pPr>
    </w:p>
    <w:p w14:paraId="78639AB8" w14:textId="77777777" w:rsidR="005E526E" w:rsidRDefault="005E526E" w:rsidP="00236495">
      <w:pPr>
        <w:widowControl w:val="0"/>
        <w:pBdr>
          <w:top w:val="nil"/>
          <w:left w:val="nil"/>
          <w:bottom w:val="nil"/>
          <w:right w:val="nil"/>
          <w:between w:val="nil"/>
        </w:pBdr>
        <w:spacing w:before="77" w:line="240" w:lineRule="auto"/>
        <w:ind w:right="7"/>
        <w:jc w:val="both"/>
        <w:rPr>
          <w:rFonts w:ascii="Trebuchet MS" w:eastAsia="Trebuchet MS" w:hAnsi="Trebuchet MS" w:cs="Trebuchet MS"/>
          <w:sz w:val="20"/>
          <w:szCs w:val="20"/>
        </w:rPr>
      </w:pPr>
    </w:p>
    <w:p w14:paraId="72841AB0" w14:textId="77777777" w:rsidR="005E526E" w:rsidRDefault="005E526E" w:rsidP="00236495">
      <w:pPr>
        <w:widowControl w:val="0"/>
        <w:pBdr>
          <w:top w:val="nil"/>
          <w:left w:val="nil"/>
          <w:bottom w:val="nil"/>
          <w:right w:val="nil"/>
          <w:between w:val="nil"/>
        </w:pBdr>
        <w:spacing w:before="77" w:line="240" w:lineRule="auto"/>
        <w:ind w:right="7"/>
        <w:jc w:val="both"/>
        <w:rPr>
          <w:rFonts w:ascii="Trebuchet MS" w:eastAsia="Trebuchet MS" w:hAnsi="Trebuchet MS" w:cs="Trebuchet MS"/>
          <w:sz w:val="20"/>
          <w:szCs w:val="20"/>
        </w:rPr>
      </w:pPr>
    </w:p>
    <w:p w14:paraId="270926B9" w14:textId="77777777" w:rsidR="005E526E" w:rsidRDefault="005E526E" w:rsidP="00236495">
      <w:pPr>
        <w:widowControl w:val="0"/>
        <w:pBdr>
          <w:top w:val="nil"/>
          <w:left w:val="nil"/>
          <w:bottom w:val="nil"/>
          <w:right w:val="nil"/>
          <w:between w:val="nil"/>
        </w:pBdr>
        <w:spacing w:before="77" w:line="240" w:lineRule="auto"/>
        <w:ind w:right="7"/>
        <w:jc w:val="both"/>
        <w:rPr>
          <w:rFonts w:ascii="Trebuchet MS" w:eastAsia="Trebuchet MS" w:hAnsi="Trebuchet MS" w:cs="Trebuchet MS"/>
          <w:sz w:val="20"/>
          <w:szCs w:val="20"/>
        </w:rPr>
      </w:pPr>
    </w:p>
    <w:p w14:paraId="0E87EC87" w14:textId="295F1EE4" w:rsidR="00236495" w:rsidRPr="005E526E" w:rsidRDefault="00236495" w:rsidP="00236495">
      <w:pPr>
        <w:widowControl w:val="0"/>
        <w:pBdr>
          <w:top w:val="nil"/>
          <w:left w:val="nil"/>
          <w:bottom w:val="nil"/>
          <w:right w:val="nil"/>
          <w:between w:val="nil"/>
        </w:pBdr>
        <w:spacing w:before="77" w:line="240" w:lineRule="auto"/>
        <w:ind w:right="7"/>
        <w:jc w:val="both"/>
        <w:rPr>
          <w:rFonts w:ascii="Trebuchet MS" w:eastAsia="Trebuchet MS" w:hAnsi="Trebuchet MS" w:cs="Trebuchet MS"/>
          <w:sz w:val="20"/>
          <w:szCs w:val="20"/>
        </w:rPr>
        <w:sectPr w:rsidR="00236495" w:rsidRPr="005E526E">
          <w:type w:val="continuous"/>
          <w:pgSz w:w="12240" w:h="15840"/>
          <w:pgMar w:top="288" w:right="125" w:bottom="356" w:left="362" w:header="0" w:footer="720" w:gutter="0"/>
          <w:cols w:num="2" w:space="720" w:equalWidth="0">
            <w:col w:w="5876" w:space="0"/>
            <w:col w:w="5876" w:space="0"/>
          </w:cols>
        </w:sectPr>
      </w:pPr>
      <w:r>
        <w:rPr>
          <w:sz w:val="18"/>
          <w:szCs w:val="18"/>
        </w:rPr>
        <w:t xml:space="preserve">l </w:t>
      </w:r>
    </w:p>
    <w:p w14:paraId="5334DC9D" w14:textId="4D31F9BF" w:rsidR="00236495" w:rsidRDefault="005E526E" w:rsidP="00236495">
      <w:pPr>
        <w:widowControl w:val="0"/>
        <w:pBdr>
          <w:top w:val="nil"/>
          <w:left w:val="nil"/>
          <w:bottom w:val="nil"/>
          <w:right w:val="nil"/>
          <w:between w:val="nil"/>
        </w:pBdr>
        <w:spacing w:line="240" w:lineRule="auto"/>
        <w:rPr>
          <w:rFonts w:ascii="Century Gothic" w:eastAsia="Century Gothic" w:hAnsi="Century Gothic" w:cs="Century Gothic"/>
          <w:b/>
          <w:color w:val="002060"/>
          <w:sz w:val="32"/>
          <w:szCs w:val="32"/>
        </w:rPr>
      </w:pPr>
      <w:r>
        <w:rPr>
          <w:rFonts w:ascii="Trebuchet MS" w:eastAsia="Trebuchet MS" w:hAnsi="Trebuchet MS" w:cs="Trebuchet MS"/>
          <w:noProof/>
          <w:sz w:val="24"/>
          <w:szCs w:val="24"/>
        </w:rPr>
        <w:drawing>
          <wp:inline distT="114300" distB="114300" distL="114300" distR="114300" wp14:anchorId="1147017C" wp14:editId="30C448DD">
            <wp:extent cx="7421880" cy="3026664"/>
            <wp:effectExtent l="0" t="0" r="0" b="0"/>
            <wp:docPr id="6" name="image5.png"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5.png" descr="Graphical user interface, table&#10;&#10;Description automatically generated"/>
                    <pic:cNvPicPr preferRelativeResize="0"/>
                  </pic:nvPicPr>
                  <pic:blipFill>
                    <a:blip r:embed="rId13"/>
                    <a:srcRect l="991" t="1551" b="1791"/>
                    <a:stretch>
                      <a:fillRect/>
                    </a:stretch>
                  </pic:blipFill>
                  <pic:spPr>
                    <a:xfrm>
                      <a:off x="0" y="0"/>
                      <a:ext cx="7421880" cy="3026664"/>
                    </a:xfrm>
                    <a:prstGeom prst="rect">
                      <a:avLst/>
                    </a:prstGeom>
                    <a:ln/>
                  </pic:spPr>
                </pic:pic>
              </a:graphicData>
            </a:graphic>
          </wp:inline>
        </w:drawing>
      </w:r>
    </w:p>
    <w:p w14:paraId="2FB4854E" w14:textId="5BA1BEA6" w:rsidR="00236495" w:rsidRDefault="00236495" w:rsidP="00236495">
      <w:pPr>
        <w:widowControl w:val="0"/>
        <w:pBdr>
          <w:top w:val="nil"/>
          <w:left w:val="nil"/>
          <w:bottom w:val="nil"/>
          <w:right w:val="nil"/>
          <w:between w:val="nil"/>
        </w:pBdr>
        <w:spacing w:line="240" w:lineRule="auto"/>
      </w:pPr>
    </w:p>
    <w:p w14:paraId="1853AC56" w14:textId="42829B47" w:rsidR="00BA53A6" w:rsidRPr="00236495" w:rsidRDefault="00BA53A6" w:rsidP="00236495">
      <w:pPr>
        <w:widowControl w:val="0"/>
        <w:pBdr>
          <w:top w:val="nil"/>
          <w:left w:val="nil"/>
          <w:bottom w:val="nil"/>
          <w:right w:val="nil"/>
          <w:between w:val="nil"/>
        </w:pBdr>
        <w:spacing w:line="240" w:lineRule="auto"/>
        <w:rPr>
          <w:rFonts w:ascii="Century Gothic" w:eastAsia="Century Gothic" w:hAnsi="Century Gothic" w:cs="Century Gothic"/>
          <w:b/>
          <w:color w:val="002060"/>
          <w:sz w:val="32"/>
          <w:szCs w:val="32"/>
        </w:rPr>
      </w:pPr>
    </w:p>
    <w:p w14:paraId="21A96478" w14:textId="56888F67" w:rsidR="00730B7C" w:rsidRPr="00236495" w:rsidRDefault="00BF5337" w:rsidP="00236495">
      <w:pPr>
        <w:widowControl w:val="0"/>
        <w:pBdr>
          <w:top w:val="nil"/>
          <w:left w:val="nil"/>
          <w:bottom w:val="nil"/>
          <w:right w:val="nil"/>
          <w:between w:val="nil"/>
        </w:pBdr>
        <w:spacing w:before="281" w:line="240" w:lineRule="auto"/>
        <w:ind w:right="574"/>
        <w:rPr>
          <w:rFonts w:ascii="Trebuchet MS" w:eastAsia="Trebuchet MS" w:hAnsi="Trebuchet MS" w:cs="Trebuchet MS"/>
          <w:color w:val="000000"/>
          <w:sz w:val="20"/>
          <w:szCs w:val="20"/>
        </w:rPr>
      </w:pPr>
      <w:r>
        <w:rPr>
          <w:rFonts w:ascii="Century Gothic" w:eastAsia="Century Gothic" w:hAnsi="Century Gothic" w:cs="Century Gothic"/>
          <w:b/>
          <w:color w:val="002060"/>
          <w:sz w:val="32"/>
          <w:szCs w:val="32"/>
        </w:rPr>
        <w:t xml:space="preserve">ESG Considerations </w:t>
      </w:r>
    </w:p>
    <w:p w14:paraId="7A800790" w14:textId="46506F64" w:rsidR="00730B7C" w:rsidRDefault="00BF5337">
      <w:pPr>
        <w:widowControl w:val="0"/>
        <w:pBdr>
          <w:top w:val="nil"/>
          <w:left w:val="nil"/>
          <w:bottom w:val="nil"/>
          <w:right w:val="nil"/>
          <w:between w:val="nil"/>
        </w:pBdr>
        <w:spacing w:before="351" w:line="240" w:lineRule="auto"/>
        <w:ind w:left="233" w:right="447" w:firstLine="11"/>
        <w:rPr>
          <w:rFonts w:ascii="Trebuchet MS" w:eastAsia="Trebuchet MS" w:hAnsi="Trebuchet MS" w:cs="Trebuchet MS"/>
          <w:color w:val="000000"/>
          <w:sz w:val="20"/>
          <w:szCs w:val="20"/>
        </w:rPr>
      </w:pPr>
      <w:r>
        <w:rPr>
          <w:rFonts w:ascii="Trebuchet MS" w:eastAsia="Trebuchet MS" w:hAnsi="Trebuchet MS" w:cs="Trebuchet MS"/>
          <w:sz w:val="20"/>
          <w:szCs w:val="20"/>
        </w:rPr>
        <w:t>Salesforce prioritizes ESG standards through several internal initiatives. The company uses a Net Zero energy platform which delivers a carbon neutral cloud to its customers. The company also uses a one-one-one model for their philanthropic efforts to enco</w:t>
      </w:r>
      <w:r>
        <w:rPr>
          <w:rFonts w:ascii="Trebuchet MS" w:eastAsia="Trebuchet MS" w:hAnsi="Trebuchet MS" w:cs="Trebuchet MS"/>
          <w:sz w:val="20"/>
          <w:szCs w:val="20"/>
        </w:rPr>
        <w:t xml:space="preserve">urage themselves and their clients to direct 1% of their product, </w:t>
      </w:r>
      <w:proofErr w:type="gramStart"/>
      <w:r>
        <w:rPr>
          <w:rFonts w:ascii="Trebuchet MS" w:eastAsia="Trebuchet MS" w:hAnsi="Trebuchet MS" w:cs="Trebuchet MS"/>
          <w:sz w:val="20"/>
          <w:szCs w:val="20"/>
        </w:rPr>
        <w:t>time</w:t>
      </w:r>
      <w:proofErr w:type="gramEnd"/>
      <w:r>
        <w:rPr>
          <w:rFonts w:ascii="Trebuchet MS" w:eastAsia="Trebuchet MS" w:hAnsi="Trebuchet MS" w:cs="Trebuchet MS"/>
          <w:sz w:val="20"/>
          <w:szCs w:val="20"/>
        </w:rPr>
        <w:t xml:space="preserve"> and resources towards integrating businesses.</w:t>
      </w:r>
      <w:r w:rsidR="00042305">
        <w:rPr>
          <w:rFonts w:ascii="Trebuchet MS" w:eastAsia="Trebuchet MS" w:hAnsi="Trebuchet MS" w:cs="Trebuchet MS"/>
          <w:sz w:val="20"/>
          <w:szCs w:val="20"/>
        </w:rPr>
        <w:t xml:space="preserve"> Salesforces has also been on the Fortune 100’s “top companies to work for” for the past thirteen years.</w:t>
      </w:r>
    </w:p>
    <w:p w14:paraId="1CAF1374" w14:textId="16CE2BA5" w:rsidR="00730B7C" w:rsidRDefault="00236495">
      <w:pPr>
        <w:widowControl w:val="0"/>
        <w:pBdr>
          <w:top w:val="nil"/>
          <w:left w:val="nil"/>
          <w:bottom w:val="nil"/>
          <w:right w:val="nil"/>
          <w:between w:val="nil"/>
        </w:pBdr>
        <w:spacing w:before="338" w:line="240" w:lineRule="auto"/>
        <w:ind w:left="225"/>
        <w:rPr>
          <w:rFonts w:ascii="Trebuchet MS" w:eastAsia="Trebuchet MS" w:hAnsi="Trebuchet MS" w:cs="Trebuchet MS"/>
          <w:color w:val="000000"/>
          <w:sz w:val="20"/>
          <w:szCs w:val="20"/>
        </w:rPr>
      </w:pPr>
      <w:r>
        <w:rPr>
          <w:noProof/>
        </w:rPr>
        <w:drawing>
          <wp:anchor distT="114300" distB="114300" distL="114300" distR="114300" simplePos="0" relativeHeight="251660288" behindDoc="0" locked="0" layoutInCell="1" hidden="0" allowOverlap="1" wp14:anchorId="6D52A5D6" wp14:editId="0881EA31">
            <wp:simplePos x="0" y="0"/>
            <wp:positionH relativeFrom="column">
              <wp:posOffset>2002155</wp:posOffset>
            </wp:positionH>
            <wp:positionV relativeFrom="paragraph">
              <wp:posOffset>346710</wp:posOffset>
            </wp:positionV>
            <wp:extent cx="3246120" cy="2910840"/>
            <wp:effectExtent l="0" t="0" r="0" b="0"/>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246120" cy="2910840"/>
                    </a:xfrm>
                    <a:prstGeom prst="rect">
                      <a:avLst/>
                    </a:prstGeom>
                    <a:ln/>
                  </pic:spPr>
                </pic:pic>
              </a:graphicData>
            </a:graphic>
            <wp14:sizeRelH relativeFrom="margin">
              <wp14:pctWidth>0</wp14:pctWidth>
            </wp14:sizeRelH>
            <wp14:sizeRelV relativeFrom="margin">
              <wp14:pctHeight>0</wp14:pctHeight>
            </wp14:sizeRelV>
          </wp:anchor>
        </w:drawing>
      </w:r>
    </w:p>
    <w:sectPr w:rsidR="00730B7C">
      <w:type w:val="continuous"/>
      <w:pgSz w:w="12240" w:h="15840"/>
      <w:pgMar w:top="288" w:right="125" w:bottom="356" w:left="303"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7DC65" w14:textId="77777777" w:rsidR="00BF5337" w:rsidRDefault="00BF5337" w:rsidP="00236495">
      <w:pPr>
        <w:spacing w:line="240" w:lineRule="auto"/>
      </w:pPr>
      <w:r>
        <w:separator/>
      </w:r>
    </w:p>
  </w:endnote>
  <w:endnote w:type="continuationSeparator" w:id="0">
    <w:p w14:paraId="76852E67" w14:textId="77777777" w:rsidR="00BF5337" w:rsidRDefault="00BF5337" w:rsidP="002364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844CA" w14:textId="77777777" w:rsidR="00BF5337" w:rsidRDefault="00BF5337" w:rsidP="00236495">
      <w:pPr>
        <w:spacing w:line="240" w:lineRule="auto"/>
      </w:pPr>
      <w:r>
        <w:separator/>
      </w:r>
    </w:p>
  </w:footnote>
  <w:footnote w:type="continuationSeparator" w:id="0">
    <w:p w14:paraId="20307241" w14:textId="77777777" w:rsidR="00BF5337" w:rsidRDefault="00BF5337" w:rsidP="002364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2219F" w14:textId="77777777" w:rsidR="00236495" w:rsidRDefault="0023649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B7C"/>
    <w:rsid w:val="00042305"/>
    <w:rsid w:val="00236495"/>
    <w:rsid w:val="00333B62"/>
    <w:rsid w:val="005E526E"/>
    <w:rsid w:val="00730B7C"/>
    <w:rsid w:val="00BA53A6"/>
    <w:rsid w:val="00BF5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0C09B0"/>
  <w15:docId w15:val="{F5429526-3E96-DB46-A70D-ED3949B9D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042305"/>
    <w:rPr>
      <w:color w:val="0000FF" w:themeColor="hyperlink"/>
      <w:u w:val="single"/>
    </w:rPr>
  </w:style>
  <w:style w:type="character" w:styleId="UnresolvedMention">
    <w:name w:val="Unresolved Mention"/>
    <w:basedOn w:val="DefaultParagraphFont"/>
    <w:uiPriority w:val="99"/>
    <w:semiHidden/>
    <w:unhideWhenUsed/>
    <w:rsid w:val="00042305"/>
    <w:rPr>
      <w:color w:val="605E5C"/>
      <w:shd w:val="clear" w:color="auto" w:fill="E1DFDD"/>
    </w:rPr>
  </w:style>
  <w:style w:type="paragraph" w:styleId="Header">
    <w:name w:val="header"/>
    <w:basedOn w:val="Normal"/>
    <w:link w:val="HeaderChar"/>
    <w:uiPriority w:val="99"/>
    <w:unhideWhenUsed/>
    <w:rsid w:val="00236495"/>
    <w:pPr>
      <w:tabs>
        <w:tab w:val="center" w:pos="4680"/>
        <w:tab w:val="right" w:pos="9360"/>
      </w:tabs>
      <w:spacing w:line="240" w:lineRule="auto"/>
    </w:pPr>
  </w:style>
  <w:style w:type="character" w:customStyle="1" w:styleId="HeaderChar">
    <w:name w:val="Header Char"/>
    <w:basedOn w:val="DefaultParagraphFont"/>
    <w:link w:val="Header"/>
    <w:uiPriority w:val="99"/>
    <w:rsid w:val="00236495"/>
  </w:style>
  <w:style w:type="paragraph" w:styleId="Footer">
    <w:name w:val="footer"/>
    <w:basedOn w:val="Normal"/>
    <w:link w:val="FooterChar"/>
    <w:uiPriority w:val="99"/>
    <w:unhideWhenUsed/>
    <w:rsid w:val="00236495"/>
    <w:pPr>
      <w:tabs>
        <w:tab w:val="center" w:pos="4680"/>
        <w:tab w:val="right" w:pos="9360"/>
      </w:tabs>
      <w:spacing w:line="240" w:lineRule="auto"/>
    </w:pPr>
  </w:style>
  <w:style w:type="character" w:customStyle="1" w:styleId="FooterChar">
    <w:name w:val="Footer Char"/>
    <w:basedOn w:val="DefaultParagraphFont"/>
    <w:link w:val="Footer"/>
    <w:uiPriority w:val="99"/>
    <w:rsid w:val="00236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dhumitha.kanna@uconn.edu"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mailto:joshua.onyirimba@uconn.edu"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Kannan, Madhumitha</cp:lastModifiedBy>
  <cp:revision>2</cp:revision>
  <dcterms:created xsi:type="dcterms:W3CDTF">2021-11-30T17:09:00Z</dcterms:created>
  <dcterms:modified xsi:type="dcterms:W3CDTF">2021-11-30T18:59:00Z</dcterms:modified>
</cp:coreProperties>
</file>